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AF6AE" w14:textId="77777777" w:rsidR="00113A4C" w:rsidRDefault="001376E9">
      <w:pPr>
        <w:spacing w:after="160"/>
      </w:pPr>
      <w:r>
        <w:t>The case is still only at the preliminary-injunction stage. Even the Ohio Supreme Court's eventual ruling won't end it; it will mostly decide whether the players can keep playing while the case goes back to the trial court.</w:t>
      </w:r>
    </w:p>
    <w:p w14:paraId="2D566607" w14:textId="77777777" w:rsidR="00113A4C" w:rsidRDefault="001376E9">
      <w:pPr>
        <w:pStyle w:val="Heading1"/>
      </w:pPr>
      <w:r>
        <w:t>Where It Stands Now</w:t>
      </w:r>
    </w:p>
    <w:p w14:paraId="6694D4D6" w14:textId="77777777" w:rsidR="00113A4C" w:rsidRDefault="001376E9">
      <w:pPr>
        <w:spacing w:after="160"/>
      </w:pPr>
      <w:r>
        <w:rPr>
          <w:b/>
          <w:bCs/>
        </w:rPr>
        <w:t xml:space="preserve">The history so far. </w:t>
      </w:r>
      <w:r>
        <w:t>Hamilton County Common Pleas Judge Christopher Wagner granted the injunction on July 9. The First District Court of Appeals reversed it on October 2, and the players' lawyers appealed to the Ohio Supreme Court four days later. Governor DeWine signed Executive Order 2026-04D on October 13.</w:t>
      </w:r>
    </w:p>
    <w:p w14:paraId="76B5FBB7" w14:textId="77777777" w:rsidR="00113A4C" w:rsidRDefault="001376E9">
      <w:pPr>
        <w:spacing w:after="160"/>
      </w:pPr>
      <w:r>
        <w:rPr>
          <w:b/>
          <w:bCs/>
        </w:rPr>
        <w:t xml:space="preserve">The Supreme Court's October 14 order. </w:t>
      </w:r>
      <w:r>
        <w:t>The day after the executive order, the Supreme Court stayed the appeals court's decision, which put the injunction back in force for all the plaintiffs. It ordered both sides to file simultaneous supplemental briefs on the effect of the order, no longer than 15 pages, due at 5 p.m. on October 19.</w:t>
      </w:r>
    </w:p>
    <w:p w14:paraId="3E86A3DA" w14:textId="77777777" w:rsidR="00113A4C" w:rsidRDefault="001376E9">
      <w:pPr>
        <w:pStyle w:val="Heading1"/>
      </w:pPr>
      <w:r>
        <w:t>Remaining Steps</w:t>
      </w:r>
    </w:p>
    <w:p w14:paraId="4E48AC26" w14:textId="77777777" w:rsidR="00113A4C" w:rsidRDefault="001376E9">
      <w:pPr>
        <w:spacing w:after="160"/>
      </w:pPr>
      <w:r>
        <w:t>The Ohio Supreme Court steps below reflect my reading of the court's standard practice for discretionary appeals. The court can shorten or combine any of them.</w:t>
      </w:r>
    </w:p>
    <w:p w14:paraId="5501125C" w14:textId="77777777" w:rsidR="00113A4C" w:rsidRDefault="001376E9">
      <w:pPr>
        <w:pStyle w:val="Heading2"/>
      </w:pPr>
      <w:r>
        <w:t>In the Ohio Supreme Court</w:t>
      </w:r>
    </w:p>
    <w:p w14:paraId="252A241F" w14:textId="77777777" w:rsidR="00113A4C" w:rsidRDefault="001376E9">
      <w:pPr>
        <w:spacing w:after="160"/>
      </w:pPr>
      <w:r>
        <w:rPr>
          <w:b/>
          <w:bCs/>
        </w:rPr>
        <w:t xml:space="preserve">Supplemental briefs (October 19). </w:t>
      </w:r>
      <w:r>
        <w:t>Both sides argue what the executive order means for the case.</w:t>
      </w:r>
    </w:p>
    <w:p w14:paraId="5CB884CA" w14:textId="77777777" w:rsidR="00113A4C" w:rsidRDefault="001376E9">
      <w:pPr>
        <w:spacing w:after="160"/>
      </w:pPr>
      <w:r>
        <w:rPr>
          <w:b/>
          <w:bCs/>
        </w:rPr>
        <w:t xml:space="preserve">Deciding whether to take the appeal. </w:t>
      </w:r>
      <w:r>
        <w:t>The Ohio Supreme Court chooses which appeals it hears. The players argue the case is important enough to hear, the NCAA responds, and the justices vote to accept or decline. If the court declines, the appeals court's reversal stands and the stay presumably ends. The court could also rule on the executive order question alone, or decide the case without full briefing.</w:t>
      </w:r>
    </w:p>
    <w:p w14:paraId="2DCB16D2" w14:textId="77777777" w:rsidR="00113A4C" w:rsidRDefault="001376E9">
      <w:pPr>
        <w:spacing w:after="160"/>
      </w:pPr>
      <w:r>
        <w:rPr>
          <w:b/>
          <w:bCs/>
        </w:rPr>
        <w:t xml:space="preserve">Full briefing and oral argument, if the appeal is accepted. </w:t>
      </w:r>
      <w:r>
        <w:t>On a normal schedule this takes months. Expediting would most likely happen here, since the issue is eligibility for a basketball season that ends in the spring.</w:t>
      </w:r>
    </w:p>
    <w:p w14:paraId="63373D2B" w14:textId="77777777" w:rsidR="00113A4C" w:rsidRDefault="001376E9">
      <w:pPr>
        <w:spacing w:after="160"/>
      </w:pPr>
      <w:r>
        <w:rPr>
          <w:b/>
          <w:bCs/>
        </w:rPr>
        <w:t xml:space="preserve">The Supreme Court's decision. </w:t>
      </w:r>
      <w:r>
        <w:t>Even a win for the players only confirms the preliminary injunction, which keeps them eligible while the lawsuit continues. It doesn't decide the underlying contract claims.</w:t>
      </w:r>
    </w:p>
    <w:p w14:paraId="59329461" w14:textId="77777777" w:rsidR="00113A4C" w:rsidRDefault="001376E9">
      <w:pPr>
        <w:pStyle w:val="Heading2"/>
      </w:pPr>
      <w:r>
        <w:t>Back in the Trial Court</w:t>
      </w:r>
    </w:p>
    <w:p w14:paraId="04732D73" w14:textId="77777777" w:rsidR="00113A4C" w:rsidRDefault="001376E9">
      <w:pPr>
        <w:spacing w:after="160"/>
      </w:pPr>
      <w:r>
        <w:rPr>
          <w:b/>
          <w:bCs/>
        </w:rPr>
        <w:t xml:space="preserve">The merits before Judge Wagner. </w:t>
      </w:r>
      <w:r>
        <w:t>The trial court still has to rule on the actual claims, through a hearing on a permanent injunction, a summary judgment, or a trial.</w:t>
      </w:r>
    </w:p>
    <w:p w14:paraId="51A350F2" w14:textId="77777777" w:rsidR="00113A4C" w:rsidRDefault="001376E9">
      <w:pPr>
        <w:spacing w:after="160"/>
      </w:pPr>
      <w:r>
        <w:rPr>
          <w:b/>
          <w:bCs/>
        </w:rPr>
        <w:t xml:space="preserve">Appeals of the final judgment. </w:t>
      </w:r>
      <w:r>
        <w:t>Whoever loses can go back through the First District and the Ohio Supreme Court. These are state-law claims, so review by the U.S. Supreme Court is unlikely unless a federal issue arises.</w:t>
      </w:r>
    </w:p>
    <w:p w14:paraId="0165284A" w14:textId="77777777" w:rsidR="00113A4C" w:rsidRDefault="001376E9">
      <w:pPr>
        <w:pStyle w:val="Heading1"/>
      </w:pPr>
      <w:r>
        <w:t>Parallel Developments That Could Change the Outcome</w:t>
      </w:r>
    </w:p>
    <w:p w14:paraId="20C7403A" w14:textId="77777777" w:rsidR="00113A4C" w:rsidRDefault="001376E9">
      <w:pPr>
        <w:spacing w:after="160"/>
      </w:pPr>
      <w:r>
        <w:rPr>
          <w:b/>
          <w:bCs/>
        </w:rPr>
        <w:t xml:space="preserve">A challenge to the executive order. </w:t>
      </w:r>
      <w:r>
        <w:t>Sportico notes the order could be challenged in court, likely under the Dormant Commerce Clause and the Contract Clause, on the theory that it lets member schools break contractual duties they owe the NCAA. The NCAA used commerce-clause arguments to defeat a Nevada state law in the 1990s. A ruling against the order would undercut whatever weight the Ohio Supreme Court gives it. The order also says it does not direct courts handling pending lawsuits.</w:t>
      </w:r>
    </w:p>
    <w:p w14:paraId="16F7C465" w14:textId="77777777" w:rsidR="00113A4C" w:rsidRDefault="001376E9">
      <w:pPr>
        <w:spacing w:after="160"/>
      </w:pPr>
      <w:r>
        <w:rPr>
          <w:b/>
          <w:bCs/>
        </w:rPr>
        <w:t xml:space="preserve">The Protect College Sports Act. </w:t>
      </w:r>
      <w:r>
        <w:t>The House is preparing to consider the bill, which would write the NCAA's eligibility rule into federal law. If it passes in that form, it could override both the lawsuit and the executive order.</w:t>
      </w:r>
    </w:p>
    <w:p w14:paraId="3A361512" w14:textId="77777777" w:rsidR="00113A4C" w:rsidRDefault="001376E9">
      <w:pPr>
        <w:spacing w:after="160"/>
      </w:pPr>
      <w:r>
        <w:rPr>
          <w:b/>
          <w:bCs/>
        </w:rPr>
        <w:t xml:space="preserve">The calendar. </w:t>
      </w:r>
      <w:r>
        <w:t>This is my own analysis. The relief sought is eligibility for 2026-27 only, so once the season ends the core dispute may become moot. The fight would then shift to whether the NCAA can penalize schools afterward for having played these athletes. In practice, the "ultimate conclusion" may be whatever status the players hold when the season ends.</w:t>
      </w:r>
    </w:p>
    <w:p w14:paraId="47D3227A" w14:textId="77777777" w:rsidR="00113A4C" w:rsidRDefault="001376E9">
      <w:pPr>
        <w:pStyle w:val="Heading1"/>
      </w:pPr>
      <w:r>
        <w:lastRenderedPageBreak/>
        <w:t>On the Speculation About the Timing</w:t>
      </w:r>
    </w:p>
    <w:p w14:paraId="09DE76B1" w14:textId="77777777" w:rsidR="00113A4C" w:rsidRDefault="001376E9">
      <w:pPr>
        <w:spacing w:after="160"/>
      </w:pPr>
      <w:r>
        <w:rPr>
          <w:b/>
          <w:bCs/>
        </w:rPr>
        <w:t xml:space="preserve">Why people are suspicious. </w:t>
      </w:r>
      <w:r>
        <w:t>On September 23 the court denied the players' emergency motion to restore the injunction. On September 28 it dismissed an earlier version of the appeal; the notice I found doesn't say why, though likely the appeals court hadn't decided the case yet, which is my inference. On October 14, one day after the executive order, it granted essentially the same relief.</w:t>
      </w:r>
    </w:p>
    <w:p w14:paraId="367C2C02" w14:textId="77777777" w:rsidR="00113A4C" w:rsidRDefault="001376E9">
      <w:pPr>
        <w:spacing w:after="160"/>
      </w:pPr>
      <w:r>
        <w:rPr>
          <w:b/>
          <w:bCs/>
        </w:rPr>
        <w:t xml:space="preserve">The procedural explanation. </w:t>
      </w:r>
      <w:r>
        <w:t>The October 2 appellate decision put the case in a proper posture for review, and the executive order is a new legal development the court would have to address anyway. Both explanations fit the facts I found.</w:t>
      </w:r>
    </w:p>
    <w:p w14:paraId="54B11C0C" w14:textId="77777777" w:rsidR="00113A4C" w:rsidRDefault="001376E9">
      <w:pPr>
        <w:spacing w:after="160"/>
      </w:pPr>
      <w:r>
        <w:rPr>
          <w:b/>
          <w:bCs/>
        </w:rPr>
        <w:t xml:space="preserve">Justice Pat DeWine. </w:t>
      </w:r>
      <w:r>
        <w:t>In 2021 he declined to recuse himself from the redistricting litigation, in which his father was a named party. Here the governor isn't a party, but his order is now a direct subject of the briefing. I found no reporting on whether Justice DeWine is participating in this case. The court's daily case announcements would show it once he votes or steps aside.</w:t>
      </w:r>
    </w:p>
    <w:p w14:paraId="298DD19A" w14:textId="77777777" w:rsidR="00113A4C" w:rsidRDefault="001376E9">
      <w:pPr>
        <w:pStyle w:val="Heading1"/>
      </w:pPr>
      <w:r>
        <w:t>Sources</w:t>
      </w:r>
    </w:p>
    <w:p w14:paraId="40AEC13C" w14:textId="77777777" w:rsidR="00113A4C" w:rsidRDefault="001376E9">
      <w:pPr>
        <w:spacing w:after="80"/>
      </w:pPr>
      <w:hyperlink r:id="rId5" w:history="1">
        <w:r>
          <w:rPr>
            <w:rStyle w:val="Hyperlink"/>
          </w:rPr>
          <w:t>Yahoo Sports/Cincinnati Enquirer – Ohio Supreme Court to rule on DeWine order</w:t>
        </w:r>
      </w:hyperlink>
    </w:p>
    <w:p w14:paraId="0B37EECC" w14:textId="77777777" w:rsidR="00113A4C" w:rsidRDefault="001376E9">
      <w:pPr>
        <w:spacing w:after="80"/>
      </w:pPr>
      <w:hyperlink r:id="rId6" w:history="1">
        <w:r>
          <w:rPr>
            <w:rStyle w:val="Hyperlink"/>
          </w:rPr>
          <w:t>Yahoo Sports/Cincinnati Enquirer – UC's Collins, XU's Borovicanin eligible per DeWine</w:t>
        </w:r>
      </w:hyperlink>
    </w:p>
    <w:p w14:paraId="7BD0ACF9" w14:textId="77777777" w:rsidR="00113A4C" w:rsidRDefault="001376E9">
      <w:pPr>
        <w:spacing w:after="80"/>
      </w:pPr>
      <w:hyperlink r:id="rId7" w:history="1">
        <w:r>
          <w:rPr>
            <w:rStyle w:val="Hyperlink"/>
          </w:rPr>
          <w:t>Yahoo Sports/Front Office Sports – Ohio governor issues executive order</w:t>
        </w:r>
      </w:hyperlink>
    </w:p>
    <w:p w14:paraId="0F88B463" w14:textId="77777777" w:rsidR="00113A4C" w:rsidRDefault="001376E9">
      <w:pPr>
        <w:spacing w:after="80"/>
      </w:pPr>
      <w:hyperlink r:id="rId8" w:history="1">
        <w:r>
          <w:rPr>
            <w:rStyle w:val="Hyperlink"/>
          </w:rPr>
          <w:t>Supreme Court of Ohio – Daily Case Announcements</w:t>
        </w:r>
      </w:hyperlink>
    </w:p>
    <w:p w14:paraId="0A7CEB0C" w14:textId="77777777" w:rsidR="00113A4C" w:rsidRDefault="001376E9">
      <w:pPr>
        <w:spacing w:after="80"/>
      </w:pPr>
      <w:hyperlink r:id="rId9" w:history="1">
        <w:r>
          <w:rPr>
            <w:rStyle w:val="Hyperlink"/>
          </w:rPr>
          <w:t>Sportico – DeWine order could face lawsuit</w:t>
        </w:r>
      </w:hyperlink>
    </w:p>
    <w:p w14:paraId="7551DDDC" w14:textId="77777777" w:rsidR="00113A4C" w:rsidRDefault="001376E9">
      <w:pPr>
        <w:spacing w:after="80"/>
      </w:pPr>
      <w:hyperlink r:id="rId10" w:history="1">
        <w:r>
          <w:rPr>
            <w:rStyle w:val="Hyperlink"/>
          </w:rPr>
          <w:t>EssentiallySports – order's language on pending lawsuits</w:t>
        </w:r>
      </w:hyperlink>
    </w:p>
    <w:sectPr w:rsidR="00113A4C">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7251"/>
    <w:multiLevelType w:val="hybridMultilevel"/>
    <w:tmpl w:val="BBE24D64"/>
    <w:lvl w:ilvl="0" w:tplc="5860E18A">
      <w:start w:val="1"/>
      <w:numFmt w:val="bullet"/>
      <w:lvlText w:val="●"/>
      <w:lvlJc w:val="left"/>
      <w:pPr>
        <w:ind w:left="720" w:hanging="360"/>
      </w:pPr>
    </w:lvl>
    <w:lvl w:ilvl="1" w:tplc="0302A924">
      <w:start w:val="1"/>
      <w:numFmt w:val="bullet"/>
      <w:lvlText w:val="○"/>
      <w:lvlJc w:val="left"/>
      <w:pPr>
        <w:ind w:left="1440" w:hanging="360"/>
      </w:pPr>
    </w:lvl>
    <w:lvl w:ilvl="2" w:tplc="64D46DA4">
      <w:start w:val="1"/>
      <w:numFmt w:val="bullet"/>
      <w:lvlText w:val="■"/>
      <w:lvlJc w:val="left"/>
      <w:pPr>
        <w:ind w:left="2160" w:hanging="360"/>
      </w:pPr>
    </w:lvl>
    <w:lvl w:ilvl="3" w:tplc="9094ECC0">
      <w:start w:val="1"/>
      <w:numFmt w:val="bullet"/>
      <w:lvlText w:val="●"/>
      <w:lvlJc w:val="left"/>
      <w:pPr>
        <w:ind w:left="2880" w:hanging="360"/>
      </w:pPr>
    </w:lvl>
    <w:lvl w:ilvl="4" w:tplc="4698A910">
      <w:start w:val="1"/>
      <w:numFmt w:val="bullet"/>
      <w:lvlText w:val="○"/>
      <w:lvlJc w:val="left"/>
      <w:pPr>
        <w:ind w:left="3600" w:hanging="360"/>
      </w:pPr>
    </w:lvl>
    <w:lvl w:ilvl="5" w:tplc="528426E2">
      <w:start w:val="1"/>
      <w:numFmt w:val="bullet"/>
      <w:lvlText w:val="■"/>
      <w:lvlJc w:val="left"/>
      <w:pPr>
        <w:ind w:left="4320" w:hanging="360"/>
      </w:pPr>
    </w:lvl>
    <w:lvl w:ilvl="6" w:tplc="3554295E">
      <w:start w:val="1"/>
      <w:numFmt w:val="bullet"/>
      <w:lvlText w:val="●"/>
      <w:lvlJc w:val="left"/>
      <w:pPr>
        <w:ind w:left="5040" w:hanging="360"/>
      </w:pPr>
    </w:lvl>
    <w:lvl w:ilvl="7" w:tplc="6C94EFDC">
      <w:start w:val="1"/>
      <w:numFmt w:val="bullet"/>
      <w:lvlText w:val="●"/>
      <w:lvlJc w:val="left"/>
      <w:pPr>
        <w:ind w:left="5760" w:hanging="360"/>
      </w:pPr>
    </w:lvl>
    <w:lvl w:ilvl="8" w:tplc="85BAD2F4">
      <w:start w:val="1"/>
      <w:numFmt w:val="bullet"/>
      <w:lvlText w:val="●"/>
      <w:lvlJc w:val="left"/>
      <w:pPr>
        <w:ind w:left="6480" w:hanging="360"/>
      </w:pPr>
    </w:lvl>
  </w:abstractNum>
  <w:num w:numId="1" w16cid:durableId="5863091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A4C"/>
    <w:rsid w:val="00113A4C"/>
    <w:rsid w:val="001376E9"/>
    <w:rsid w:val="00631814"/>
    <w:rsid w:val="00EC1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0C081"/>
  <w15:docId w15:val="{62A057E6-DF9D-465E-BD2B-746FEF16A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20"/>
      <w:outlineLvl w:val="0"/>
    </w:pPr>
    <w:rPr>
      <w:b/>
      <w:bCs/>
      <w:color w:val="000000"/>
      <w:sz w:val="30"/>
      <w:szCs w:val="30"/>
    </w:rPr>
  </w:style>
  <w:style w:type="paragraph" w:styleId="Heading2">
    <w:name w:val="heading 2"/>
    <w:uiPriority w:val="9"/>
    <w:unhideWhenUsed/>
    <w:qFormat/>
    <w:pPr>
      <w:spacing w:before="200" w:after="100"/>
      <w:outlineLvl w:val="1"/>
    </w:pPr>
    <w:rPr>
      <w:b/>
      <w:bCs/>
      <w:color w:val="000000"/>
      <w:sz w:val="25"/>
      <w:szCs w:val="2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upremecourt.ohio.gov/opinions-cases/daily-archive/" TargetMode="External"/><Relationship Id="rId3" Type="http://schemas.openxmlformats.org/officeDocument/2006/relationships/settings" Target="settings.xml"/><Relationship Id="rId7" Type="http://schemas.openxmlformats.org/officeDocument/2006/relationships/hyperlink" Target="https://sports.yahoo.com/articles/ohio-gov-issues-executive-order-001215009.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ports.yahoo.com/articles/ucs-mj-collins-xaviers-filip-224429243.html" TargetMode="External"/><Relationship Id="rId11" Type="http://schemas.openxmlformats.org/officeDocument/2006/relationships/fontTable" Target="fontTable.xml"/><Relationship Id="rId5" Type="http://schemas.openxmlformats.org/officeDocument/2006/relationships/hyperlink" Target="https://sports.yahoo.com/articles/ohio-supreme-court-rule-dewine-204902774.html" TargetMode="External"/><Relationship Id="rId10" Type="http://schemas.openxmlformats.org/officeDocument/2006/relationships/hyperlink" Target="https://www.essentiallysports.com/ncaa-college-football-news-ohio-government-gives-major-boost-to-ryan-days-ohio-state-for-2026-season/" TargetMode="External"/><Relationship Id="rId4" Type="http://schemas.openxmlformats.org/officeDocument/2006/relationships/webSettings" Target="webSettings.xml"/><Relationship Id="rId9" Type="http://schemas.openxmlformats.org/officeDocument/2006/relationships/hyperlink" Target="https://www.sportico.com/law/analysis/2026/mike-dewine-ncaa-executive-order-legal-issues-1234952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839</Words>
  <Characters>4787</Characters>
  <Application>Microsoft Office Word</Application>
  <DocSecurity>0</DocSecurity>
  <Lines>39</Lines>
  <Paragraphs>11</Paragraphs>
  <ScaleCrop>false</ScaleCrop>
  <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Stephen Wilson</cp:lastModifiedBy>
  <cp:revision>2</cp:revision>
  <dcterms:created xsi:type="dcterms:W3CDTF">2026-10-15T14:22:00Z</dcterms:created>
  <dcterms:modified xsi:type="dcterms:W3CDTF">2026-10-15T14:22:00Z</dcterms:modified>
</cp:coreProperties>
</file>